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kern w:val="0"/>
          <w:sz w:val="52"/>
          <w:szCs w:val="52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前进区住房和城乡建设局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年政府信息公开工作年度报告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672"/>
        <w:jc w:val="both"/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60"/>
        <w:jc w:val="left"/>
      </w:pPr>
      <w:r>
        <w:rPr>
          <w:rFonts w:ascii="方正黑体_GBK" w:hAnsi="方正黑体_GBK" w:eastAsia="方正黑体_GBK" w:cs="方正黑体_GBK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一、总体情况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672"/>
        <w:jc w:val="both"/>
      </w:pPr>
      <w:r>
        <w:rPr>
          <w:rFonts w:ascii="方正黑体简体" w:hAnsi="方正黑体简体" w:eastAsia="方正黑体简体" w:cs="方正黑体简体"/>
          <w:i w:val="0"/>
          <w:iCs w:val="0"/>
          <w:caps w:val="0"/>
          <w:color w:val="333333"/>
          <w:spacing w:val="8"/>
          <w:sz w:val="32"/>
          <w:szCs w:val="32"/>
          <w:bdr w:val="none" w:color="auto" w:sz="0" w:space="0"/>
          <w:shd w:val="clear" w:fill="FFFFFF"/>
        </w:rPr>
        <w:t>2021年，区住房和城乡建设局，认真贯彻落实市委、区委关于政务公开工作安排部署，能够严格按照政务公开信息“谁公开、谁负责”工作制度”认真履行政务公开信息报送审查程序，确保了公布的信息不涉密，无差错，做到了信息公开、及时、准确。全年共报送职能工作信息、简报数40余条，主要涉及物业管理、房屋征收和环卫清扫职能及工作开展等情况，人大代表建议和政协委员提案办结率和代表满意率均为100%。公开我局负责实施的人防等行政审批事项，公布了设定的依据、标准和办事指南和流程图等相关信息，制定政务公开相关工作制度，及时在前进区人民政府网站进行公布，用实实在在的举措，扎实推动全局政务公开工作扎实有序推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60"/>
        <w:jc w:val="left"/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二、主动公开政府信息情况</w:t>
      </w:r>
    </w:p>
    <w:tbl>
      <w:tblPr>
        <w:tblW w:w="90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8"/>
        <w:gridCol w:w="2268"/>
        <w:gridCol w:w="2268"/>
        <w:gridCol w:w="2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90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第二十条第（一）项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信息内容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本年制发件数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本年废止件数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现行有效件数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规章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　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行政规范性文件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　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907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第二十条第（五）项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信息内容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本年处理决定数量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行政许可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907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第二十条第（六）项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信息内容</w:t>
            </w:r>
          </w:p>
        </w:tc>
        <w:tc>
          <w:tcPr>
            <w:tcW w:w="68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本年处理决定数量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行政处罚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行政强制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907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第二十条第（八）项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信息内容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本年收费金额（单位：万元）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行政事业性收费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60"/>
        <w:jc w:val="left"/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三、收到和处理政府信息公开申请情况</w:t>
      </w:r>
    </w:p>
    <w:tbl>
      <w:tblPr>
        <w:tblW w:w="90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1106"/>
        <w:gridCol w:w="2744"/>
        <w:gridCol w:w="854"/>
        <w:gridCol w:w="643"/>
        <w:gridCol w:w="714"/>
        <w:gridCol w:w="658"/>
        <w:gridCol w:w="616"/>
        <w:gridCol w:w="420"/>
        <w:gridCol w:w="4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7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（本列数据的勾稽关系为：第一项加第二项之和，等于第三项加第四项之和）</w:t>
            </w:r>
          </w:p>
        </w:tc>
        <w:tc>
          <w:tcPr>
            <w:tcW w:w="435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申请人情况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7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自然人</w:t>
            </w:r>
          </w:p>
        </w:tc>
        <w:tc>
          <w:tcPr>
            <w:tcW w:w="305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法人或其他组织</w:t>
            </w:r>
          </w:p>
        </w:tc>
        <w:tc>
          <w:tcPr>
            <w:tcW w:w="448" w:type="dxa"/>
            <w:vMerge w:val="restart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7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科研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机构</w:t>
            </w:r>
          </w:p>
        </w:tc>
        <w:tc>
          <w:tcPr>
            <w:tcW w:w="6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社会公益组织</w:t>
            </w:r>
          </w:p>
        </w:tc>
        <w:tc>
          <w:tcPr>
            <w:tcW w:w="6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法律服务机构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448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71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一、本年新收政府信息公开申请数量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71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二、上年结转政府信息公开申请数量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6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三、本年度办理结果</w:t>
            </w:r>
          </w:p>
        </w:tc>
        <w:tc>
          <w:tcPr>
            <w:tcW w:w="3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（一）予以公开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6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（二）部分公开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（区分处理的，只计这一情形，不计其他情形）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三、本年度办理结果</w:t>
            </w:r>
          </w:p>
        </w:tc>
        <w:tc>
          <w:tcPr>
            <w:tcW w:w="1106" w:type="dxa"/>
            <w:vMerge w:val="restart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（三）不予公开</w:t>
            </w: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1.属于国家秘密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2.其他法律行政法规禁止公开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3.危及“三安全一稳定”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4.保护第三方合法权益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5.属于三类内部事务信息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6.属于四类过程性信息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7.属于行政执法案卷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8.属于行政查询事项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（四）无法提供</w:t>
            </w: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1.本机关不掌握相关政府信息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2.没有现成信息需要另行制作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3.补正后申请内容仍不明确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（五）不予处理</w:t>
            </w: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1.信访举报投诉类申请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2.重复申请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3.要求提供公开出版物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4.无正当理由大量反复申请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5.要求行政机关确认或重新出具已获取信息</w:t>
            </w:r>
          </w:p>
        </w:tc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single" w:color="auto" w:sz="8" w:space="0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（六）其他处理</w:t>
            </w: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1.申请人无正当理由逾期不补正、行政机关不再处理其政府信息公开申请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2.申请人逾期未按收费通知要求缴纳费用、行政机关不再处理其政府信息公开申请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8" w:space="0"/>
              <w:bottom w:val="inset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3.其他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86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（七）总计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471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四、结转下年度继续办理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60"/>
        <w:jc w:val="left"/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四、政府信息公开行政复议、行政诉讼情况</w:t>
      </w:r>
    </w:p>
    <w:tbl>
      <w:tblPr>
        <w:tblW w:w="90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5"/>
        <w:gridCol w:w="605"/>
        <w:gridCol w:w="605"/>
        <w:gridCol w:w="605"/>
        <w:gridCol w:w="604"/>
        <w:gridCol w:w="604"/>
        <w:gridCol w:w="604"/>
        <w:gridCol w:w="605"/>
        <w:gridCol w:w="605"/>
        <w:gridCol w:w="605"/>
        <w:gridCol w:w="605"/>
        <w:gridCol w:w="605"/>
        <w:gridCol w:w="605"/>
        <w:gridCol w:w="605"/>
        <w:gridCol w:w="6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02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行政复议</w:t>
            </w:r>
          </w:p>
        </w:tc>
        <w:tc>
          <w:tcPr>
            <w:tcW w:w="6048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行政诉讼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结果维持</w:t>
            </w:r>
          </w:p>
        </w:tc>
        <w:tc>
          <w:tcPr>
            <w:tcW w:w="60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纠正</w:t>
            </w:r>
          </w:p>
        </w:tc>
        <w:tc>
          <w:tcPr>
            <w:tcW w:w="60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</w:t>
            </w:r>
          </w:p>
        </w:tc>
        <w:tc>
          <w:tcPr>
            <w:tcW w:w="60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尚未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审结</w:t>
            </w:r>
          </w:p>
        </w:tc>
        <w:tc>
          <w:tcPr>
            <w:tcW w:w="60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302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未经复议直接起诉</w:t>
            </w:r>
          </w:p>
        </w:tc>
        <w:tc>
          <w:tcPr>
            <w:tcW w:w="3025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复议后起诉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维持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纠正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尚未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审结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维持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纠正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结果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尚未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审结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方正书宋_GBK" w:hAnsi="方正书宋_GBK" w:eastAsia="方正书宋_GBK" w:cs="方正书宋_GBK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60"/>
        <w:jc w:val="left"/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五、存在的主要问题及改进情况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92"/>
        <w:jc w:val="left"/>
      </w:pPr>
      <w:r>
        <w:rPr>
          <w:rFonts w:hint="default" w:ascii="方正黑体简体" w:hAnsi="方正黑体简体" w:eastAsia="方正黑体简体" w:cs="方正黑体简体"/>
          <w:i w:val="0"/>
          <w:iCs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目前，我局政务信息公开工作，主要</w:t>
      </w:r>
      <w:r>
        <w:rPr>
          <w:rFonts w:hint="default" w:ascii="方正黑体简体" w:hAnsi="方正黑体简体" w:eastAsia="方正黑体简体" w:cs="方正黑体简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存在政务公开不够全面，信息更新不够及时的问题，我局针对上述问题，一是认真梳理职能，加强对全局政务公开工作组织领导和学习宣传和教育培训力度，进一步增强干部职工主动参与政务公开工作意识。二是进一步把政务公开信息工作落实到具体工作人员，准确及时地将信息进行更新，并予以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560"/>
        <w:jc w:val="left"/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六、其他需要报告的事项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ODk4MGQ4NGJmNzYzNjgxNDEyZWMwOGY1MWRkMzcifQ=="/>
  </w:docVars>
  <w:rsids>
    <w:rsidRoot w:val="00000000"/>
    <w:rsid w:val="0695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啤酒泡泡孟洋</cp:lastModifiedBy>
  <dcterms:modified xsi:type="dcterms:W3CDTF">2022-12-16T01:20:04Z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F6D9DF02D6CC421FB1823DC6F382270C</vt:lpwstr>
  </property>
</Properties>
</file>